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1" w:rsidRPr="00817006" w:rsidRDefault="006A1CD1" w:rsidP="0042565F">
      <w:pPr>
        <w:spacing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:rsidR="00E528AF" w:rsidRPr="00817006" w:rsidRDefault="0080772E" w:rsidP="0042565F">
      <w:pPr>
        <w:spacing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Tisková zpráva</w:t>
      </w:r>
      <w:r w:rsidR="0093696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Praha,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2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8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8. 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2017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br/>
      </w:r>
    </w:p>
    <w:p w:rsidR="00376C57" w:rsidRPr="00817006" w:rsidRDefault="0060253B" w:rsidP="0042565F">
      <w:pPr>
        <w:spacing w:line="276" w:lineRule="auto"/>
        <w:jc w:val="center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>NINA, ČERNÝ PETR, BORG/</w:t>
      </w:r>
      <w:r w:rsidR="001451C5"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>M</w:t>
      </w:r>
      <w:r w:rsidR="001451C5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>c</w:t>
      </w:r>
      <w:r w:rsidR="001451C5"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 xml:space="preserve">ENROE 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>a další…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br/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 xml:space="preserve">České filmy a projekty na mezinárodních filmových festivalech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br/>
        <w:t>v Torontu a v Benátkách</w:t>
      </w:r>
    </w:p>
    <w:p w:rsidR="00376C57" w:rsidRPr="00817006" w:rsidRDefault="00376C57" w:rsidP="0042565F">
      <w:pPr>
        <w:spacing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</w:pPr>
    </w:p>
    <w:p w:rsidR="00A718CA" w:rsidRPr="00817006" w:rsidRDefault="00376C57" w:rsidP="0042565F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Na konci srpna a začátku září 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se konají 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dva z nejvýznamnějších světových filmových festivalů –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benátský a torontský. Na obou bude mít česká kinematografie své zastoupení.  </w:t>
      </w:r>
    </w:p>
    <w:p w:rsidR="00A718CA" w:rsidRPr="00817006" w:rsidRDefault="00A718CA" w:rsidP="0042565F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Na 74. ročník Mezinárodního filmového festivalu v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Benátk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ách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(30.</w:t>
      </w:r>
      <w:r w:rsidR="00F512E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8</w:t>
      </w:r>
      <w:r w:rsidR="00F512E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.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9. 9.)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putuje restaurovaná verze klasiky Česk</w:t>
      </w:r>
      <w:r w:rsidR="001451C5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oslovensk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é nové vlny – Formanův </w:t>
      </w:r>
      <w:r w:rsidR="00376C57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Černý Petr</w:t>
      </w:r>
      <w:r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 xml:space="preserve">. 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Na tamním filmovém trhu Gap-Financing Market se představí dva české projekty ve vývoji: celovečerní film </w:t>
      </w:r>
      <w:r w:rsidR="000A38BF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Žáby bez jazyka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režisérky Miry Fornay </w:t>
      </w:r>
      <w:r w:rsidR="009A63B5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br/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a dokument </w:t>
      </w:r>
      <w:r w:rsidR="000A38BF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A</w:t>
      </w:r>
      <w:r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ž přijde válka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režiséra Jana Geberta.</w:t>
      </w:r>
    </w:p>
    <w:p w:rsidR="008A5795" w:rsidRDefault="00313A58" w:rsidP="00C24693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Letošní </w:t>
      </w:r>
      <w:r w:rsidR="009C2FA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42. ročník 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festivalu v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Torontu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(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shd w:val="clear" w:color="auto" w:fill="FFFFFF"/>
        </w:rPr>
        <w:t xml:space="preserve">7. 9. 2017 – 17. 9.) </w:t>
      </w:r>
      <w:r w:rsidR="009C2FA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shd w:val="clear" w:color="auto" w:fill="FFFFFF"/>
        </w:rPr>
        <w:t>uvede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v prestižní sekci Současná světová kinematografie 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rodinné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drama </w:t>
      </w:r>
      <w:r w:rsidR="00376C57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Nina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režiséra </w:t>
      </w:r>
      <w:r w:rsidR="001451C5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Juraje</w:t>
      </w:r>
      <w:r w:rsidR="001451C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Lehotského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Tato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novinka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, která měla </w:t>
      </w:r>
      <w:r w:rsidR="002033FD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světovou 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premiéru </w:t>
      </w:r>
      <w:r w:rsidR="002033FD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na festivalu 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v Karlových Varech, byla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natočená ve slovensko-české koprodukci 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českým pr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oducentem 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Jiří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m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Konečný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m</w:t>
      </w:r>
      <w:r w:rsidR="00376C5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(endorfilm</w:t>
      </w:r>
      <w:r w:rsidR="002033FD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).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Českou stopu nese</w:t>
      </w:r>
      <w:r w:rsidR="002033FD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i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zahajovací film torontského</w:t>
      </w:r>
      <w:r w:rsidR="000A38B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festivalu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, kterým je příběh tenisových rivalů </w:t>
      </w:r>
      <w:r w:rsidR="0060253B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Borg/McEnroe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, natáče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ný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 velké části v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 </w:t>
      </w:r>
      <w:r w:rsidR="0060253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Česku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, na kurtech pražské Štvanice</w:t>
      </w: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za účasti Sirena Film</w:t>
      </w:r>
      <w:r w:rsidR="00C24693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.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Současnou českou kinematografii</w:t>
      </w:r>
      <w:r w:rsidR="00C13251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a průmysl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A718C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pak 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bude v Torontu reprezent</w:t>
      </w:r>
      <w:r w:rsidR="00CD4D2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ovat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Czech Film Center, které 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bude </w:t>
      </w:r>
      <w:r w:rsidR="00C834F4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už po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druhé vystavovat ve společném stánku evropských zemí</w:t>
      </w:r>
      <w:r w:rsidR="00CD4D2B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pod hlavičkou European Film Promotion</w:t>
      </w:r>
      <w:r w:rsidR="00327BA5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</w:t>
      </w:r>
      <w:r w:rsidR="002033FD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</w:p>
    <w:p w:rsidR="00C24693" w:rsidRDefault="00C24693" w:rsidP="0042565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:rsidR="00C24693" w:rsidRPr="00817006" w:rsidRDefault="00C24693" w:rsidP="0042565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:rsidR="00817006" w:rsidRDefault="00A718CA" w:rsidP="0042565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MFF </w:t>
      </w:r>
      <w:r w:rsidR="00E043C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TORONTO</w:t>
      </w:r>
      <w:r w:rsidR="00E043C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br/>
        <w:t>Nina</w:t>
      </w:r>
      <w:r w:rsidR="00FB01C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 v sekci Současná světová kinematografie</w:t>
      </w:r>
      <w:r w:rsidR="00E043C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br/>
      </w:r>
      <w:r w:rsidR="0060253B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Slovensko-český snímek </w:t>
      </w:r>
      <w:r w:rsidR="0060253B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Nina</w:t>
      </w:r>
      <w:r w:rsidR="0060253B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je druhým celovečerním filmem režiséra Juraje Lehotského, který se festivalu v Torontu účastnil už se svým debutem</w:t>
      </w:r>
      <w:r w:rsidR="001451C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1451C5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Slepé lásky </w:t>
      </w:r>
      <w:r w:rsidR="00F82794" w:rsidRPr="00F8279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US"/>
        </w:rPr>
        <w:t>(</w:t>
      </w:r>
      <w:r w:rsidR="001451C5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US"/>
        </w:rPr>
        <w:t>2008</w:t>
      </w:r>
      <w:r w:rsidR="00F82794" w:rsidRPr="00F8279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US"/>
        </w:rPr>
        <w:t>)</w:t>
      </w:r>
      <w:r w:rsidR="00F82794" w:rsidRPr="00F8279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a prvním hraným filmem</w:t>
      </w:r>
      <w:r w:rsidR="0060253B" w:rsidRPr="001451C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60253B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Zázrak</w:t>
      </w:r>
      <w:r w:rsidR="0060253B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(2013). </w:t>
      </w:r>
      <w:r w:rsidR="00A278F8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Českým producentem filmu je Jiří Konečný (endorfilm), který má za sebou už řadu úspěšných mezinárodních koprodukcí (</w:t>
      </w:r>
      <w:r w:rsidR="00A278F8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Aferim!, Pátá loď, Koza</w:t>
      </w:r>
      <w:r w:rsidR="005B2B9A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 </w:t>
      </w:r>
      <w:r w:rsidR="005B2B9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 další</w:t>
      </w:r>
      <w:r w:rsidR="00A278F8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). </w:t>
      </w:r>
    </w:p>
    <w:p w:rsidR="00A278F8" w:rsidRPr="00817006" w:rsidRDefault="00A278F8" w:rsidP="0042565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„</w:t>
      </w: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Uvedení Niny v Torontu si velmi vážím,“ 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říká producent Jiří Konečný</w:t>
      </w: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. „ Rád bych vyzdvihl český tvůrčí vklad do filmu - hudbu složil Aleš Březina a v Praze ji pod jeho vedením nahrálo Bennewitzovo kvarteto se zpěvačkou Kateřinou Zikmundovou. Ve studiu České televize vznikl také kompletní zvukový mix filmu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.“</w:t>
      </w:r>
    </w:p>
    <w:p w:rsidR="00817006" w:rsidRDefault="00817006" w:rsidP="0081700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12065</wp:posOffset>
            </wp:positionV>
            <wp:extent cx="3375660" cy="1908175"/>
            <wp:effectExtent l="19050" t="0" r="0" b="0"/>
            <wp:wrapSquare wrapText="bothSides"/>
            <wp:docPr id="4" name="Obrázek 1" descr="ni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_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      </w:t>
      </w:r>
      <w:r w:rsidR="005B2B9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Režisér </w:t>
      </w:r>
      <w:r w:rsidR="00A278F8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Juraj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Lehotský na sebe </w:t>
      </w:r>
      <w:r w:rsidR="005B2B9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poprvé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výrazně upozornil dokumentem </w:t>
      </w:r>
      <w:r w:rsidR="00327BA5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Slepé lásky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(2008)</w:t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o podobách lásky mezi nevidomými lidmi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, který měl premiéru na festivalu v Cannes a promítal se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 úspěchem na řadě dalších festivalů.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 </w:t>
      </w:r>
      <w:r w:rsidR="005B2B9A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Nině, Zázraku </w:t>
      </w:r>
      <w:r w:rsidR="005B2B9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i </w:t>
      </w:r>
      <w:r w:rsidR="005B2B9A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Slepých láskách</w:t>
      </w:r>
      <w:r w:rsidR="005B2B9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s</w:t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polupracoval s Lehotský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</w:t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scenárista Marek Leščák, jedna z hlavních postav současné slovenské scenáristiky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(</w:t>
      </w:r>
      <w:r w:rsidR="002033FD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Pátá loď, Koza, Až do města Aš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ad.)</w:t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           </w:t>
      </w:r>
      <w:r w:rsidR="00D50A16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Nina </w:t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je citlivým ponorem do dětského světa konfrontovaného s dramaty dospělých. </w:t>
      </w:r>
      <w:r w:rsidR="005B2B9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Hlavní hrdinkou je dvanáctiletá Nina, nadan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á</w:t>
      </w:r>
      <w:r w:rsidR="00D50A1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plavkyně, jejíž život a zažité jistoty se začnou hroutit v okamžiku, kdy se její rodiče rozhodnou rozejít. Film bude v Torontu uveden v  sekci Současná světová kinematografi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e </w:t>
      </w:r>
      <w:r w:rsidR="00C24693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a Marek Leščák ho zde osobně </w:t>
      </w:r>
      <w:r w:rsidR="00C1325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uvede 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10. </w:t>
      </w:r>
      <w:r w:rsidR="00A278F8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</w:t>
      </w:r>
      <w:r w:rsidR="002033FD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áří</w:t>
      </w:r>
      <w:r w:rsidR="00A278F8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. </w:t>
      </w:r>
      <w:r w:rsidR="0086386B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"</w:t>
      </w:r>
      <w:r w:rsidR="0086386B"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Je pro nás skutečnou poctou, že náš film bude uveden na jednom z nejvýznamnějších festivalů na severoamerickém kontinentě a jsme nesmírně vděční selektorům </w:t>
      </w:r>
    </w:p>
    <w:p w:rsidR="00D34CBA" w:rsidRPr="00817006" w:rsidRDefault="0086386B" w:rsidP="0081700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lastRenderedPageBreak/>
        <w:t>Dimitrimu Eipidesovi a Andreiovi Tanasescu za jejich neuvěřitelnou podporu a důvěru, kterou obdarovávají Juraje Lehotského, když čtyři roky po uvedení filmu  Zázrak věnovali prostor i Nině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,“ řekli producenti filmu Ivan Ostrochovský a Katarína Tomková z Punchart films. </w:t>
      </w:r>
      <w:r w:rsidR="00D34CBA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  </w:t>
      </w:r>
    </w:p>
    <w:p w:rsidR="00D07452" w:rsidRPr="00817006" w:rsidRDefault="00D07452" w:rsidP="0042565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:rsidR="00D07452" w:rsidRPr="00817006" w:rsidRDefault="00D07452" w:rsidP="0042565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:rsidR="006E15BA" w:rsidRPr="00817006" w:rsidRDefault="006E15BA" w:rsidP="0042565F">
      <w:pPr>
        <w:pStyle w:val="Default"/>
        <w:spacing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Borg/McEnroe</w:t>
      </w:r>
      <w:r w:rsidR="00FB01C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 jako zahajovací film</w:t>
      </w:r>
    </w:p>
    <w:p w:rsidR="0014045E" w:rsidRPr="00817006" w:rsidRDefault="00817006" w:rsidP="0042565F">
      <w:pPr>
        <w:pStyle w:val="Default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45085</wp:posOffset>
            </wp:positionV>
            <wp:extent cx="3318510" cy="1835785"/>
            <wp:effectExtent l="19050" t="0" r="0" b="0"/>
            <wp:wrapTight wrapText="bothSides">
              <wp:wrapPolygon edited="0">
                <wp:start x="-124" y="0"/>
                <wp:lineTo x="-124" y="21294"/>
                <wp:lineTo x="21575" y="21294"/>
                <wp:lineTo x="21575" y="0"/>
                <wp:lineTo x="-124" y="0"/>
              </wp:wrapPolygon>
            </wp:wrapTight>
            <wp:docPr id="5" name="Obrázek 4" descr="borg vs mcenr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g vs mcenro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A3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Zahajovací</w:t>
      </w:r>
      <w:r w:rsidR="0014045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m</w:t>
      </w:r>
      <w:r w:rsidR="00E24A3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film</w:t>
      </w:r>
      <w:r w:rsidR="0014045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em</w:t>
      </w:r>
      <w:r w:rsidR="00E24A3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torontského festivalu</w:t>
      </w:r>
      <w:r w:rsidR="0014045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bude švédský film </w:t>
      </w:r>
      <w:r w:rsidR="0014045E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Borg/McEnroe</w:t>
      </w:r>
      <w:r w:rsidR="0014045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přinášející </w:t>
      </w:r>
      <w:r w:rsidR="00E24A3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příběh tenisových rivalů, </w:t>
      </w:r>
      <w:r w:rsidR="0014045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který </w:t>
      </w:r>
      <w:r w:rsidR="00E24A30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se natáčel z velké části v Česku, na kurtech pražské Štvanice</w:t>
      </w:r>
      <w:r w:rsidR="00E24A30" w:rsidRPr="0081700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. </w:t>
      </w:r>
    </w:p>
    <w:p w:rsidR="00E24A30" w:rsidRPr="00817006" w:rsidRDefault="0014045E" w:rsidP="000A38BF">
      <w:pPr>
        <w:pStyle w:val="Default"/>
        <w:spacing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Film </w:t>
      </w:r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se odehrává ve Švédsku, Americe či Monaku. Trojlístek hvězdného obsazení filmu (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Shia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LaBeouf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– John </w:t>
      </w:r>
      <w:proofErr w:type="spellStart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McEnroe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Sverrir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Gudnason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– </w:t>
      </w:r>
      <w:proofErr w:type="spellStart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Björn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Borg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Stellan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Skarsgard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– </w:t>
      </w:r>
      <w:proofErr w:type="spellStart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Borgův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trenér </w:t>
      </w:r>
      <w:proofErr w:type="spellStart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Lennart</w:t>
      </w:r>
      <w:proofErr w:type="spellEnd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967527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Bergelin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) doplňuje herečka českého původu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Tuva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Novotny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, kterou režisér Janus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Metz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Pedersen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obsadil do role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Borgovy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přítelkyně.  Natáčení v Česku proběhlo v srpnu 2016, za českou stranu se na něm podílela společnost </w:t>
      </w:r>
      <w:proofErr w:type="spellStart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Sirena</w:t>
      </w:r>
      <w:proofErr w:type="spellEnd"/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 Film. Film podpořil </w:t>
      </w:r>
      <w:r w:rsidR="00C132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Státní f</w:t>
      </w:r>
      <w:r w:rsidR="00B95248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ond kinematografie </w:t>
      </w:r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pobídkou ve výši </w:t>
      </w:r>
      <w:r w:rsidR="00417C76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téměř 11 milionů korun </w:t>
      </w:r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 xml:space="preserve">a filmaři utratili v Česku </w:t>
      </w:r>
      <w:r w:rsidR="00417C76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60 milionů korun</w:t>
      </w:r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t>.</w:t>
      </w:r>
      <w:r w:rsidR="00E24A30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cs-CZ"/>
        </w:rPr>
        <w:br/>
      </w:r>
    </w:p>
    <w:p w:rsidR="00817006" w:rsidRDefault="00080744" w:rsidP="00817006">
      <w:pPr>
        <w:spacing w:line="276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</w:pPr>
      <w:r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  <w:u w:val="single"/>
        </w:rPr>
        <w:t>Rozhovor s</w:t>
      </w:r>
      <w:r w:rsidR="006E15BA"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  <w:u w:val="single"/>
        </w:rPr>
        <w:t xml:space="preserve"> producentem </w:t>
      </w:r>
      <w:r w:rsidRP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  <w:u w:val="single"/>
        </w:rPr>
        <w:t>Pavlem Mullerem (Sirena Film)</w:t>
      </w:r>
      <w:r w:rsidR="00817006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  <w:u w:val="single"/>
        </w:rPr>
        <w:br/>
      </w:r>
      <w:r w:rsidR="00817006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 xml:space="preserve">/rozhovor je k volnému použítí, prosíme o uvedení zdroje: Czech Film Center </w:t>
      </w:r>
      <w:r w:rsidR="00C13251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(</w:t>
      </w:r>
      <w:r w:rsidR="00817006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nebo České filmové centrum</w:t>
      </w:r>
      <w:r w:rsidR="00C13251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)</w:t>
      </w:r>
      <w:r w:rsidR="00817006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/</w:t>
      </w:r>
      <w:r w:rsid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  <w:t>:</w:t>
      </w:r>
    </w:p>
    <w:p w:rsidR="00817006" w:rsidRPr="00817006" w:rsidRDefault="00817006" w:rsidP="00817006">
      <w:pPr>
        <w:spacing w:line="276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u w:val="single"/>
        </w:rPr>
      </w:pPr>
    </w:p>
    <w:p w:rsidR="00C2754F" w:rsidRPr="00817006" w:rsidRDefault="00C2754F" w:rsidP="0042565F">
      <w:pPr>
        <w:spacing w:line="276" w:lineRule="auto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u w:val="single"/>
        </w:rPr>
      </w:pP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u w:val="single"/>
        </w:rPr>
        <w:t>Jak jste se dostali k projektu Borg/McEnroe?</w:t>
      </w:r>
    </w:p>
    <w:p w:rsidR="00C2754F" w:rsidRPr="00817006" w:rsidRDefault="00C2754F" w:rsidP="0042565F">
      <w:pPr>
        <w:spacing w:line="276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Vzhledem k na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dlouholet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a 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úspěšné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spolupr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ci s hlavn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mi dánskými produkcemi se n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m poda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ř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ilo si 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i díky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propojenosti skandinávského trhu vybudovat stejn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vazby tak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na norsk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m a 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v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dsk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m trhu. Jsme r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di, </w:t>
      </w:r>
      <w:r w:rsidR="001451C5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ž</w:t>
      </w:r>
      <w:r w:rsidR="001451C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e </w:t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</w:rPr>
        <w:t>Borg/McEnroe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byl n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prvn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projekt s jednou z největších produkc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ve Skandinavii </w:t>
      </w:r>
      <w:r w:rsidR="00E952E9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-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SF Studios</w:t>
      </w:r>
      <w:r w:rsidR="000E5A52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.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Tento projekt ma velk</w:t>
      </w:r>
      <w:r w:rsidR="00080744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distribu</w:t>
      </w:r>
      <w:r w:rsidR="00080744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ční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ambice odpovídající tématu a obsazen</w:t>
      </w:r>
      <w:r w:rsidR="00080744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prvním důkazem je </w:t>
      </w:r>
      <w:r w:rsidR="00080744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úspěch při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uveden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projektu </w:t>
      </w:r>
      <w:r w:rsidR="00C24693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br/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na filmov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m festivalu v Torontu. Jsme r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di, 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ž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 projekt tak bude m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 v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ý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raznou 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eskou stopu v mezinárodním m</w:t>
      </w:r>
      <w:r w:rsidR="006E15BA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ěřítku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.</w:t>
      </w:r>
    </w:p>
    <w:p w:rsidR="00C2754F" w:rsidRPr="00817006" w:rsidRDefault="00C2754F" w:rsidP="0042565F">
      <w:pPr>
        <w:spacing w:line="276" w:lineRule="auto"/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</w:pP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Jak dlouho a kde všude se </w:t>
      </w:r>
      <w:r w:rsidR="00A84BBE"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film </w:t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>točil?</w:t>
      </w:r>
    </w:p>
    <w:p w:rsidR="00C2754F" w:rsidRPr="00817006" w:rsidRDefault="006E15BA" w:rsidP="0042565F">
      <w:pPr>
        <w:spacing w:line="276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Film se celkem natáčel 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36 dn</w:t>
      </w:r>
      <w:r w:rsidR="00A84BB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z toho 20 dní v Česku, dále se točilo 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ve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Švédsku a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 Mona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k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u. V Praze jsme to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čili 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hlavn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na tenisov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m stadionu na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tvanici, v hotelu InterContinental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, v</w:t>
      </w:r>
      <w:r w:rsidR="00C2754F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Kongresov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ém centru Praha a na dalších místech.</w:t>
      </w:r>
    </w:p>
    <w:p w:rsidR="00C2754F" w:rsidRPr="00817006" w:rsidRDefault="00C2754F" w:rsidP="0042565F">
      <w:pPr>
        <w:spacing w:line="276" w:lineRule="auto"/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</w:pP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Jak velký byl štáb, a jaký byl podíl českých a zahraničních členů? Jaké funkce například Češi zastávali? </w:t>
      </w:r>
      <w:r w:rsidR="00D618A8"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>C</w:t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o všechno </w:t>
      </w:r>
      <w:r w:rsidR="00D618A8"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vaše společnost </w:t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>zajišťoval</w:t>
      </w:r>
      <w:r w:rsidR="00D618A8"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>a</w:t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>?</w:t>
      </w:r>
    </w:p>
    <w:p w:rsidR="00C2754F" w:rsidRPr="00817006" w:rsidRDefault="00C2754F" w:rsidP="0042565F">
      <w:pPr>
        <w:spacing w:line="276" w:lineRule="auto"/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</w:pP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Nat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áčení u nás zahrnovalo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mimo jin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hlavn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tenisov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sc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ny, kdy jsme na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tvanici vytvo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řili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finále Wimbledonu z roku 1980.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esk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ý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b m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l cca 120 osob, pod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l zahraničních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len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ů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bu byl jako je u podobných koprodukc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minim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ln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pouze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kolem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10 osob, samoz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ř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ejm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hlavn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tv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ů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rci –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r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žisér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k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ameraman, hlavní výtvarnice a 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kolik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dalších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profes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. Zaji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šť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ovali jsme veškerou produkci v 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Česku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, od 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jmu lokac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, p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ř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es stavby dekorac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po zaji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samotného nat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áčení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v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etn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esk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ho obsazen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a komparzu. B</w:t>
      </w:r>
      <w:r w:rsidR="00D618A8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hem nat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en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Wimbledonu jsme m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li po dobu necel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ý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ch dvou t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ý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dn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ů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v </w:t>
      </w:r>
      <w:r w:rsidR="001451C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pr</w:t>
      </w:r>
      <w:r w:rsidR="001451C5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ů</w:t>
      </w:r>
      <w:r w:rsidR="001451C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měru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v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ce jak 250 komparzist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ů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denn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kteří byli pochopit</w:t>
      </w:r>
      <w:r w:rsidR="001451C5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el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ně všichni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dobov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ě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oble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čení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a u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česaní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.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br/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Natáčení se účastnilo několik zahraničních hereckých hvězd – měl někdo </w:t>
      </w:r>
      <w:r w:rsidR="00102E55"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 xml:space="preserve">z nich </w:t>
      </w:r>
      <w:r w:rsidRPr="00817006">
        <w:rPr>
          <w:rFonts w:asciiTheme="minorHAnsi" w:eastAsia="Times New Roman" w:hAnsiTheme="minorHAnsi" w:cstheme="minorHAnsi"/>
          <w:i/>
          <w:noProof/>
          <w:color w:val="000000" w:themeColor="text1"/>
          <w:sz w:val="20"/>
          <w:szCs w:val="20"/>
          <w:u w:val="single"/>
        </w:rPr>
        <w:t>nějaké zvláštní požadavky?</w:t>
      </w:r>
    </w:p>
    <w:p w:rsidR="00C2754F" w:rsidRPr="00817006" w:rsidRDefault="00C2754F" w:rsidP="0042565F">
      <w:pPr>
        <w:spacing w:line="276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Musím 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říci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ž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 nat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áčení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bylo </w:t>
      </w:r>
      <w:r w:rsidR="00967527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se všemi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bezprobl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mov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, 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přestože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pro </w:t>
      </w:r>
      <w:r w:rsidR="00967527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oba představitele tenistů bylo ve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lmi n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ro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čné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i vzhledem k po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tu tenisových trenink</w:t>
      </w:r>
      <w:r w:rsidR="00102E5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ů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, kter</w:t>
      </w:r>
      <w:r w:rsidR="00803E9D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museli p</w:t>
      </w:r>
      <w:r w:rsidR="00803E9D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ř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ed nat</w:t>
      </w:r>
      <w:r w:rsidR="00803E9D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áčením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absolvovat. </w:t>
      </w:r>
      <w:r w:rsidR="001451C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Zaj</w:t>
      </w:r>
      <w:r w:rsidR="001451C5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í</w:t>
      </w:r>
      <w:r w:rsidR="001451C5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mavostí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je, </w:t>
      </w:r>
      <w:r w:rsidR="00874D9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ž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e trenérem </w:t>
      </w:r>
      <w:proofErr w:type="spellStart"/>
      <w:r w:rsidR="00417C76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Shii</w:t>
      </w:r>
      <w:proofErr w:type="spellEnd"/>
      <w:r w:rsidR="00417C76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17C76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LaBeoufa</w:t>
      </w:r>
      <w:proofErr w:type="spellEnd"/>
      <w:r w:rsidR="00417C76" w:rsidRPr="0081700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byl Martin </w:t>
      </w:r>
      <w:r w:rsidR="00874D9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Štěpáne</w:t>
      </w:r>
      <w:r w:rsidR="00967527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k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, kter</w:t>
      </w:r>
      <w:r w:rsidR="00874D9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ý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 xml:space="preserve"> v sou</w:t>
      </w:r>
      <w:r w:rsidR="00874D9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č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asnosti tr</w:t>
      </w:r>
      <w:r w:rsidR="00874D9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é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nuje našeho nejlepšího tenistu Tom</w:t>
      </w:r>
      <w:r w:rsidR="00874D9E"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áš</w:t>
      </w:r>
      <w:r w:rsidRPr="00817006"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  <w:t>e Berdycha.</w:t>
      </w:r>
    </w:p>
    <w:p w:rsidR="000A38BF" w:rsidRPr="00817006" w:rsidRDefault="000A38BF" w:rsidP="0042565F">
      <w:pPr>
        <w:spacing w:line="276" w:lineRule="auto"/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</w:rPr>
      </w:pPr>
    </w:p>
    <w:p w:rsidR="000A38BF" w:rsidRPr="00817006" w:rsidRDefault="000A38BF" w:rsidP="0042565F">
      <w:pPr>
        <w:shd w:val="clear" w:color="auto" w:fill="FFFFFF"/>
        <w:spacing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</w:pPr>
    </w:p>
    <w:p w:rsidR="00327BA5" w:rsidRDefault="00417C76" w:rsidP="0042565F">
      <w:pPr>
        <w:shd w:val="clear" w:color="auto" w:fill="FFFFFF"/>
        <w:spacing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Czech Film Center v Torontu jako r</w:t>
      </w:r>
      <w:r w:rsidR="00874D9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eprezenta</w:t>
      </w:r>
      <w:r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nt</w:t>
      </w:r>
      <w:r w:rsidR="00874D9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 české kinematografie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  <w:u w:val="single"/>
        </w:rPr>
        <w:br/>
      </w:r>
      <w:r w:rsidR="000A38BF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           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Od roku 2016 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působí na festivalu v Torontu zástupci Czech Film Center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(CFC)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, a to v rámci společného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313A5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evropského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stánku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. Stánek je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organizov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án 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pod patronátem evr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opsk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é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organizac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e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hyperlink r:id="rId10" w:history="1">
        <w:r w:rsidR="00874D9E" w:rsidRPr="00817006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European Film Promotion</w:t>
        </w:r>
      </w:hyperlink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(EFP), která se zabývá propagací evropského filmu.</w:t>
      </w:r>
    </w:p>
    <w:p w:rsidR="000C171F" w:rsidRPr="00C24693" w:rsidRDefault="000A38BF" w:rsidP="00C24693">
      <w:pPr>
        <w:pStyle w:val="Normlnweb"/>
        <w:spacing w:before="0" w:beforeAutospacing="0" w:after="600" w:afterAutospacing="0" w:line="276" w:lineRule="auto"/>
        <w:ind w:firstLine="708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„Toronto je po Berlinale a Cannes třetím nejdůležitějším trhem na světě. Jednak otevírá dveře do Ameriky, ale i díky svému zářijovému termínu nabízí skvělou možnost, jak konkretizovat kampaně ohledně účasti českých filmů na zimních a jarních festivalech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,“ říká vedoucí Czech Film Center </w:t>
      </w:r>
      <w:r w:rsidR="00313A5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arkéta Šantrochová.</w:t>
      </w: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„ </w:t>
      </w:r>
      <w:r w:rsidR="001451C5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„</w:t>
      </w:r>
      <w:r w:rsidRPr="00817006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Prezentace formou samostatného stánku by pro český film nebyla výhodná, společná prezentace více evropských zemí nabízí relativně </w:t>
      </w:r>
      <w:r w:rsidR="00F82794" w:rsidRPr="00F82794">
        <w:rPr>
          <w:rFonts w:ascii="Calibri" w:hAnsi="Calibri" w:cstheme="minorHAnsi"/>
          <w:i/>
          <w:noProof/>
          <w:color w:val="000000" w:themeColor="text1"/>
          <w:sz w:val="20"/>
          <w:szCs w:val="20"/>
        </w:rPr>
        <w:t xml:space="preserve">úspornou, ale efektivní formu prezentace české kinematografie a průmyslu v kontextu evropského filmu. S 12 zeměmi představujeme velice působivý počet filmů vybraných festivalem </w:t>
      </w:r>
      <w:r w:rsidR="00F82794" w:rsidRPr="00F82794">
        <w:rPr>
          <w:rFonts w:ascii="Calibri" w:hAnsi="Calibri" w:cstheme="minorHAnsi"/>
          <w:i/>
          <w:noProof/>
          <w:color w:val="000000" w:themeColor="text1"/>
          <w:sz w:val="20"/>
          <w:szCs w:val="20"/>
        </w:rPr>
        <w:br/>
        <w:t xml:space="preserve">a zároveň samozřejmě i další lokální projekty. 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Velk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ý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st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á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nek, um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st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ě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ý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v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 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centru festivalov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é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ho d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ě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, slou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ží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jako centr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á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ln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m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sto setk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á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a je otev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ř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en pro obchodn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jedn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á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 xml:space="preserve"> a sch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ů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zky na jednom m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st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ě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, kde najdete informace o v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š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ech filmech ze z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úč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astn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ě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n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ý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ch evropsk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ý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ch zem</w:t>
      </w:r>
      <w:r w:rsidR="00F82794" w:rsidRPr="00F82794">
        <w:rPr>
          <w:rFonts w:ascii="Calibri" w:hAnsi="Calibri" w:cs="Courier New" w:hint="eastAsia"/>
          <w:i/>
          <w:color w:val="212121"/>
          <w:sz w:val="20"/>
          <w:szCs w:val="20"/>
        </w:rPr>
        <w:t>í</w:t>
      </w:r>
      <w:r w:rsidR="00F82794" w:rsidRPr="00F82794">
        <w:rPr>
          <w:rFonts w:ascii="Calibri" w:hAnsi="Calibri" w:cs="Courier New"/>
          <w:i/>
          <w:color w:val="212121"/>
          <w:sz w:val="20"/>
          <w:szCs w:val="20"/>
        </w:rPr>
        <w:t>.</w:t>
      </w:r>
      <w:r w:rsidR="00F82794" w:rsidRPr="00F82794">
        <w:rPr>
          <w:rFonts w:ascii="Calibri" w:hAnsi="Calibri" w:cstheme="minorHAnsi"/>
          <w:i/>
          <w:noProof/>
          <w:color w:val="000000" w:themeColor="text1"/>
          <w:sz w:val="20"/>
          <w:szCs w:val="20"/>
        </w:rPr>
        <w:t>“</w:t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  <w:t xml:space="preserve">                </w:t>
      </w:r>
      <w:r w:rsidR="00874D9E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Cílem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CFC je prezent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ovat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česk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ý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film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na tomto významném mezinárodním filmovém trhu, také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napojit na účast 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 MFF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v </w:t>
      </w:r>
      <w:hyperlink r:id="rId11" w:history="1">
        <w:r w:rsidR="00327BA5" w:rsidRPr="00817006">
          <w:rPr>
            <w:rFonts w:asciiTheme="minorHAnsi" w:hAnsiTheme="minorHAnsi" w:cstheme="minorHAnsi"/>
            <w:noProof/>
            <w:color w:val="000000" w:themeColor="text1"/>
            <w:sz w:val="20"/>
            <w:szCs w:val="20"/>
          </w:rPr>
          <w:t>Torontu </w:t>
        </w:r>
      </w:hyperlink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další aktivity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 jako je napříkla</w:t>
      </w:r>
      <w:r w:rsidR="001451C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d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setkání s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e zástupci dalších 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filmový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festival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ů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 představení přítomných českých tvůrců, pomoc českým producentům a tvůrcům s přípravou účasti v Torontu,</w:t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C24693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</w:r>
      <w:r w:rsidR="00417C76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 další aktivity</w:t>
      </w:r>
      <w:r w:rsidR="00327BA5" w:rsidRPr="0081700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 které viditelnost českého filmu posílí. CFC společně s EFP v Torontu také pořádá prezentaci evropského filmu – neformální setkání evropských a neevropských profesionálů, kam jsou zváni zástupci festivalů, distributoři, sales agenti, filmové instituce, kinaři a další.</w:t>
      </w:r>
    </w:p>
    <w:p w:rsidR="0042565F" w:rsidRDefault="009A63B5" w:rsidP="00817006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1128395</wp:posOffset>
            </wp:positionV>
            <wp:extent cx="2533650" cy="1866900"/>
            <wp:effectExtent l="19050" t="0" r="0" b="0"/>
            <wp:wrapTight wrapText="bothSides">
              <wp:wrapPolygon edited="0">
                <wp:start x="-162" y="0"/>
                <wp:lineTo x="-162" y="21380"/>
                <wp:lineTo x="21600" y="21380"/>
                <wp:lineTo x="21600" y="0"/>
                <wp:lineTo x="-162" y="0"/>
              </wp:wrapPolygon>
            </wp:wrapTight>
            <wp:docPr id="7" name="Obrázek 6" descr="Black Peter_6_kukatk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Peter_6_kukatko_sma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527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MFF </w:t>
      </w:r>
      <w:r w:rsidR="00874D9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BENÁTKY</w:t>
      </w:r>
      <w:r w:rsidR="00874D9E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br/>
      </w:r>
      <w:r w:rsidR="00FB01C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Pre</w:t>
      </w:r>
      <w:r w:rsidR="00E26EAD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m</w:t>
      </w:r>
      <w:r w:rsidR="00FB01C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iéra restaurovaného </w:t>
      </w:r>
      <w:r w:rsidR="006E15B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Čern</w:t>
      </w:r>
      <w:r w:rsidR="00FB01C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ého</w:t>
      </w:r>
      <w:r w:rsidR="006E15B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 Petr</w:t>
      </w:r>
      <w:r w:rsidR="00FB01CF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>a</w:t>
      </w:r>
      <w:r w:rsidR="006E15B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t xml:space="preserve"> </w:t>
      </w:r>
      <w:r w:rsidR="006E15BA" w:rsidRPr="0081700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  <w:br/>
      </w:r>
      <w:r w:rsidR="006E15BA" w:rsidRP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Restaurovaná verze české filmové klasiky, Černý Petr režiséra Miloše Formana z roku 1963, byl vybrán </w:t>
      </w:r>
      <w:r w:rsidR="00C246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="006E15BA" w:rsidRP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sekce </w:t>
      </w:r>
      <w:proofErr w:type="spellStart"/>
      <w:r w:rsidR="006E15BA" w:rsidRP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Venezia</w:t>
      </w:r>
      <w:proofErr w:type="spellEnd"/>
      <w:r w:rsidR="006E15BA" w:rsidRP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E15BA" w:rsidRP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Classici</w:t>
      </w:r>
      <w:proofErr w:type="spellEnd"/>
      <w:r w:rsidR="006E15BA" w:rsidRP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na 74. ročníku filmového festivalu v Benátkách.</w:t>
      </w:r>
      <w:r w:rsidR="0081700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Sekce </w:t>
      </w:r>
      <w:proofErr w:type="spellStart"/>
      <w:r w:rsidR="00F82794">
        <w:fldChar w:fldCharType="begin"/>
      </w:r>
      <w:r w:rsidR="00F82794">
        <w:instrText>HYPERLINK "http://www.labiennale.org/en/cinema/news/18-07.html"</w:instrText>
      </w:r>
      <w:r w:rsidR="00F82794">
        <w:fldChar w:fldCharType="separate"/>
      </w:r>
      <w:r w:rsidR="006E15BA" w:rsidRPr="00817006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</w:rPr>
        <w:t>Venezia</w:t>
      </w:r>
      <w:proofErr w:type="spellEnd"/>
      <w:r w:rsidR="006E15BA" w:rsidRPr="00817006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E15BA" w:rsidRPr="00817006"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</w:rPr>
        <w:t>Classici</w:t>
      </w:r>
      <w:proofErr w:type="spellEnd"/>
      <w:r w:rsidR="00F82794">
        <w:fldChar w:fldCharType="end"/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, která byla založena v roce 2012, uvádí výběr nejlepších digitálně restaurovaných snímků uplynulého roku. Letos byly do sekce zařazeny například snímky jako </w:t>
      </w:r>
      <w:r w:rsidR="006E15BA" w:rsidRPr="00817006">
        <w:rPr>
          <w:rStyle w:val="Zvraznn"/>
          <w:rFonts w:asciiTheme="minorHAnsi" w:hAnsiTheme="minorHAnsi" w:cstheme="minorHAnsi"/>
          <w:color w:val="000000" w:themeColor="text1"/>
          <w:sz w:val="20"/>
          <w:szCs w:val="20"/>
        </w:rPr>
        <w:t>1900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 od Bernarda </w:t>
      </w:r>
      <w:proofErr w:type="spellStart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Bertolucciho</w:t>
      </w:r>
      <w:proofErr w:type="spellEnd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(1976); </w:t>
      </w:r>
      <w:r w:rsidR="006E15BA" w:rsidRPr="00817006">
        <w:rPr>
          <w:rStyle w:val="Zvraznn"/>
          <w:rFonts w:asciiTheme="minorHAnsi" w:hAnsiTheme="minorHAnsi" w:cstheme="minorHAnsi"/>
          <w:color w:val="000000" w:themeColor="text1"/>
          <w:sz w:val="20"/>
          <w:szCs w:val="20"/>
        </w:rPr>
        <w:t>Červená pustina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proofErr w:type="spellStart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Michelangela</w:t>
      </w:r>
      <w:proofErr w:type="spellEnd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proofErr w:type="spellStart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Antonioniho</w:t>
      </w:r>
      <w:proofErr w:type="spellEnd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(1964) nebo </w:t>
      </w:r>
      <w:r w:rsidR="006E15BA" w:rsidRPr="00817006">
        <w:rPr>
          <w:rStyle w:val="Zvraznn"/>
          <w:rFonts w:asciiTheme="minorHAnsi" w:hAnsiTheme="minorHAnsi" w:cstheme="minorHAnsi"/>
          <w:color w:val="000000" w:themeColor="text1"/>
          <w:sz w:val="20"/>
          <w:szCs w:val="20"/>
        </w:rPr>
        <w:t>Blízká setkání třetího druhu</w:t>
      </w:r>
      <w:r w:rsidR="00E26EAD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 Stevena Spielberga (1977).</w:t>
      </w:r>
      <w:r w:rsidR="001451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árodní filmový archiv uvedl v Benátkách už v roce 2012 digitálně restaurovaný film </w:t>
      </w:r>
      <w:r w:rsidR="006E15BA" w:rsidRPr="00817006">
        <w:rPr>
          <w:rStyle w:val="Zvraznn"/>
          <w:rFonts w:asciiTheme="minorHAnsi" w:hAnsiTheme="minorHAnsi" w:cstheme="minorHAnsi"/>
          <w:color w:val="000000" w:themeColor="text1"/>
          <w:sz w:val="20"/>
          <w:szCs w:val="20"/>
        </w:rPr>
        <w:t>Pytel blech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Věry Chytilové z roku 1962. Loni NFA úspěšně představil restaurovanou verzi filmu </w:t>
      </w:r>
      <w:proofErr w:type="spellStart"/>
      <w:r w:rsidR="00F82794" w:rsidRPr="00F8279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Ikarie</w:t>
      </w:r>
      <w:proofErr w:type="spellEnd"/>
      <w:r w:rsidR="00F82794" w:rsidRPr="00F8279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XB1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festival</w:t>
      </w:r>
      <w:r w:rsidR="00C24693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 Cannes. 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1451C5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Když se </w:t>
      </w:r>
      <w:proofErr w:type="spellStart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NFA</w:t>
      </w:r>
      <w:proofErr w:type="spellEnd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rozhodl vrátit Černého Petra na plátna kin, Miloš Forman ve svém dopise vyjádřil naději, že po digitálním restaurování bude film vypadat tak, jak jsme ho </w:t>
      </w:r>
      <w:r w:rsidR="00C2469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v roce 1963 natočili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," řekla Jana </w:t>
      </w:r>
      <w:proofErr w:type="spellStart"/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Ulipová</w:t>
      </w:r>
      <w:proofErr w:type="spellEnd"/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</w:t>
      </w:r>
      <w:proofErr w:type="spellStart"/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NFA</w:t>
      </w:r>
      <w:proofErr w:type="spellEnd"/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Tým NFA pod vedením restaurátorky Terezy </w:t>
      </w:r>
      <w:proofErr w:type="spellStart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Frodlové</w:t>
      </w:r>
      <w:proofErr w:type="spellEnd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snažil tomuto přání režiséra vyhovět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přizval ke spolupráci další odborníky (kameraman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Jan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Malíř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, zvukov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ého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mistr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Pavl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Rejholc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další)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Restaurátoři konzultovali práci </w:t>
      </w:r>
      <w:r w:rsidR="00C2469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i s I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vanem Passerem, který na Černém 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Petrovi 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pracoval jako pomocný režisér. Digitální restaurování proběhlo ve studiu </w:t>
      </w:r>
      <w:proofErr w:type="spellStart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Cinepost</w:t>
      </w:r>
      <w:proofErr w:type="spellEnd"/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Barrandov v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6E15BA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Praze</w:t>
      </w:r>
      <w:r w:rsidR="00ED7A09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C24693" w:rsidRPr="00817006" w:rsidRDefault="00C24693" w:rsidP="00817006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9F0F51" w:rsidRPr="007F151E" w:rsidRDefault="00817006" w:rsidP="009F0F51">
      <w:pPr>
        <w:pStyle w:val="Normlnweb"/>
        <w:shd w:val="clear" w:color="auto" w:fill="FFFFFF"/>
        <w:spacing w:before="0" w:beforeAutospacing="0" w:after="748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lastRenderedPageBreak/>
        <w:br/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br/>
      </w:r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Projekty </w:t>
      </w:r>
      <w:proofErr w:type="spellStart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Miry</w:t>
      </w:r>
      <w:proofErr w:type="spellEnd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Fornay</w:t>
      </w:r>
      <w:proofErr w:type="spellEnd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a Jana </w:t>
      </w:r>
      <w:proofErr w:type="spellStart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Geberta</w:t>
      </w:r>
      <w:proofErr w:type="spellEnd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na trhu Gap-</w:t>
      </w:r>
      <w:proofErr w:type="spellStart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Financing</w:t>
      </w:r>
      <w:proofErr w:type="spellEnd"/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Market</w:t>
      </w:r>
      <w:r w:rsidR="0042565F" w:rsidRPr="0081700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br/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MFF v Benátkách proběhne také </w:t>
      </w:r>
      <w:r w:rsidR="00C13251">
        <w:rPr>
          <w:rFonts w:asciiTheme="minorHAnsi" w:hAnsiTheme="minorHAnsi" w:cstheme="minorHAnsi"/>
          <w:color w:val="000000" w:themeColor="text1"/>
          <w:sz w:val="20"/>
          <w:szCs w:val="20"/>
        </w:rPr>
        <w:t>koprodukční fórum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Gap-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Financing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Market (1. – 3. 9. 2017), který se koná v rámci </w:t>
      </w:r>
      <w:r w:rsidR="00C132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filmového trhu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Venice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Production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Bridge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. Během tří dnů konání se na trhu představí celkem 47 projektů z celého světa, letos byly vybrány i dva če</w:t>
      </w:r>
      <w:r w:rsidR="001451C5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ké. Jde o připravovaný celovečerní hraný film </w:t>
      </w:r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Žáby bez jazyka 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(anglický název</w:t>
      </w:r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  <w:proofErr w:type="spellStart"/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Cook</w:t>
      </w:r>
      <w:proofErr w:type="spellEnd"/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Fuck</w:t>
      </w:r>
      <w:proofErr w:type="spellEnd"/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Kill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režisérky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Miry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Fornay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a dokument </w:t>
      </w:r>
      <w:r w:rsidR="0042565F" w:rsidRPr="0081700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Až přijde válka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(pracovní název) režiséra Jana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Geberta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Film režisérky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Miry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Fornay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popisuje jeden den v životě pachatele domácího násilí. Pětačtyřicetiletý Jaroslava K. je pohledný a zdánlivě hodný přítel, syn, otec a manžel. Ve skutečnosti patologicky žárlí na svou manželku Blanku a neustále se obává, že ho jednou se třemi dětmi opustí. Jaroslav K. neváhá použít násilí a teror, což nakonec vede k rodinné tragédii… 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„Stejně jako v mém předchozím filmu </w:t>
      </w:r>
      <w:r w:rsidR="000A38B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My Dog </w:t>
      </w:r>
      <w:proofErr w:type="spellStart"/>
      <w:r w:rsidR="000A38B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Killer</w:t>
      </w:r>
      <w:proofErr w:type="spellEnd"/>
      <w:r w:rsidR="000A38B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je hlavní otázkou zodpovědnost za individuální jednání a postoje, a také jaký rozsah odpovědnosti za rodinnou tragédii má společnost a rodina," říká režisérka </w:t>
      </w:r>
      <w:proofErr w:type="spellStart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Mira</w:t>
      </w:r>
      <w:proofErr w:type="spellEnd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Fornay</w:t>
      </w:r>
      <w:proofErr w:type="spellEnd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Fornay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vystudovala filmovou režii na FAMU a </w:t>
      </w:r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britské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National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Film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and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Television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School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. Její debut </w:t>
      </w:r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Lištičky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 měl premiéru na filmovém festivalu v Benátkách v roce 2009 v sekci Mezinárodní týden kritiky. Její druhý film </w:t>
      </w:r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My Dog </w:t>
      </w:r>
      <w:proofErr w:type="spellStart"/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Killer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získal cenu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Hivos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Tiger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Award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festivalu v Rotterdamu v roce 2013. Projekt </w:t>
      </w:r>
      <w:r w:rsidR="0042565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Žáby bez jazyka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byl prezentován na workshopech Czech Film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Springboard</w:t>
      </w:r>
      <w:proofErr w:type="spellEnd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(Finále Plzeň, 2017) a </w:t>
      </w:r>
      <w:proofErr w:type="spellStart"/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Pitch</w:t>
      </w:r>
      <w:proofErr w:type="spellEnd"/>
      <w:r w:rsidR="001451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13251">
        <w:rPr>
          <w:rFonts w:asciiTheme="minorHAnsi" w:hAnsiTheme="minorHAnsi" w:cstheme="minorHAnsi"/>
          <w:color w:val="000000" w:themeColor="text1"/>
          <w:sz w:val="20"/>
          <w:szCs w:val="20"/>
        </w:rPr>
        <w:t>&amp;</w:t>
      </w:r>
      <w:r w:rsidR="0042565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Feedback (KVIFF, 2014), které organizuje Czech Film Center.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              Chystaný dokumentární film</w:t>
      </w:r>
      <w:r w:rsidR="000A38B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Až přijde válka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Jana </w:t>
      </w:r>
      <w:proofErr w:type="spellStart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Geberta</w:t>
      </w:r>
      <w:proofErr w:type="spellEnd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pojednává o polovojenské skupině na Slovensku, která přijímá stovky dospívajících členů. Cíl skupiny je jednoduchý </w:t>
      </w:r>
      <w:r w:rsidR="00C13251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vytvořit</w:t>
      </w:r>
      <w:r w:rsidR="00C132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modelovou společnost </w:t>
      </w:r>
      <w:r w:rsidR="009F0F51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a připravit se na konečný střet civilizací ... Hlavní postavou filmu je Petr, který žije na první pohled šťastný život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 přítelkyní a chystá se na vysokou školu. 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Jeho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hlavním zájmem je ale domobrana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Slovenskí</w:t>
      </w:r>
      <w:proofErr w:type="spellEnd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Branci, 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t>v jejímž čele stojí a která má už čtyři stovky členů. Petr totiž v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ěří, že Evropa směřuje k nevyhnutelnému střetu civilizací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j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odhodlaný bránit slovanský svět se zbraní v ruce. A jednoho dne 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ho 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ochránit jako velký politik.</w:t>
      </w:r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„Témata nacionalismu a strach z "odlišných" považuji za hlavní témata, která jsem zkoumal ve svém posledním filmu </w:t>
      </w:r>
      <w:r w:rsidR="000A38BF" w:rsidRPr="0081700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Hra o kámen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(2012), stejně jako v mé profesi novináře," říká režisér </w:t>
      </w:r>
      <w:r w:rsidR="00C13251">
        <w:rPr>
          <w:rFonts w:asciiTheme="minorHAnsi" w:hAnsiTheme="minorHAnsi" w:cstheme="minorHAnsi"/>
          <w:color w:val="000000" w:themeColor="text1"/>
          <w:sz w:val="20"/>
          <w:szCs w:val="20"/>
        </w:rPr>
        <w:t>J</w:t>
      </w:r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</w:t>
      </w:r>
      <w:proofErr w:type="spellStart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Gebert</w:t>
      </w:r>
      <w:proofErr w:type="spellEnd"/>
      <w:r w:rsidR="000A38BF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Gap-</w:t>
      </w:r>
      <w:proofErr w:type="spellStart"/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Financing</w:t>
      </w:r>
      <w:proofErr w:type="spellEnd"/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 xml:space="preserve"> Market</w:t>
      </w:r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je věnován evropským i mezinárodním producentům, kteří mají projekty v konečné fázi vývoje a hledají koproducenty a distributory. Prostřednictvím individuálních setkání s mezinárodními profesionály (výrobci, prodejci, distributory, finančníky, zástupci televizních stanic a filmových fondů) je Gap-</w:t>
      </w:r>
      <w:proofErr w:type="spellStart"/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Financing</w:t>
      </w:r>
      <w:proofErr w:type="spellEnd"/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Market místem, kde producent může pro svůj projekt zajistit zdroje, které potřebuje </w:t>
      </w:r>
      <w:r w:rsidR="00B9091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k dofinancování projektu</w:t>
      </w:r>
      <w:r w:rsidR="007F151E" w:rsidRPr="007F151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 w:rsidR="007F15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0F51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F0F51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t>Další informace najdete na webu CFC:</w:t>
      </w:r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hyperlink r:id="rId13" w:history="1">
        <w:r w:rsidR="004F4668" w:rsidRPr="00817006">
          <w:rPr>
            <w:rStyle w:val="Hypertextovodkaz"/>
            <w:rFonts w:asciiTheme="minorHAnsi" w:hAnsiTheme="minorHAnsi" w:cstheme="minorHAnsi"/>
            <w:sz w:val="20"/>
            <w:szCs w:val="20"/>
          </w:rPr>
          <w:t>http://www.filmcenter.cz/cs/press</w:t>
        </w:r>
      </w:hyperlink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hyperlink r:id="rId14" w:history="1">
        <w:r w:rsidR="004F4668" w:rsidRPr="00817006">
          <w:rPr>
            <w:rStyle w:val="Hypertextovodkaz"/>
            <w:rFonts w:asciiTheme="minorHAnsi" w:hAnsiTheme="minorHAnsi" w:cstheme="minorHAnsi"/>
            <w:sz w:val="20"/>
            <w:szCs w:val="20"/>
          </w:rPr>
          <w:t>http://www.filmcenter.cz/cs/novinky/1301-dva-ceske-projekty-na-venice-gap-financing-marketu</w:t>
        </w:r>
      </w:hyperlink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hyperlink r:id="rId15" w:history="1">
        <w:r w:rsidR="004F4668" w:rsidRPr="00817006">
          <w:rPr>
            <w:rStyle w:val="Hypertextovodkaz"/>
            <w:rFonts w:asciiTheme="minorHAnsi" w:hAnsiTheme="minorHAnsi" w:cstheme="minorHAnsi"/>
            <w:sz w:val="20"/>
            <w:szCs w:val="20"/>
          </w:rPr>
          <w:t>http://www.filmcenter.cz/cs/novinky/1299-restaurovany-cerny-petr-milose-formana-bude-uveden-v-benatkach</w:t>
        </w:r>
      </w:hyperlink>
      <w:r w:rsidR="004F4668" w:rsidRPr="0081700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hyperlink r:id="rId16" w:history="1">
        <w:r w:rsidR="004F4668" w:rsidRPr="00817006">
          <w:rPr>
            <w:rStyle w:val="Hypertextovodkaz"/>
            <w:rFonts w:asciiTheme="minorHAnsi" w:hAnsiTheme="minorHAnsi" w:cstheme="minorHAnsi"/>
            <w:sz w:val="20"/>
            <w:szCs w:val="20"/>
          </w:rPr>
          <w:t>http://www.filmcenter.cz/cs/nase-aktivity/filmove-trhy/toronto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spellStart"/>
      <w:r w:rsidRPr="00817006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Press</w:t>
      </w:r>
      <w:proofErr w:type="spellEnd"/>
      <w:r w:rsidRPr="00817006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servis:</w:t>
      </w:r>
      <w:r w:rsidRPr="00817006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br/>
      </w:r>
      <w:bookmarkStart w:id="1" w:name="_MailAutoSig"/>
      <w:r w:rsidRPr="00817006">
        <w:rPr>
          <w:rFonts w:asciiTheme="minorHAnsi" w:eastAsiaTheme="minorEastAsia" w:hAnsiTheme="minorHAnsi" w:cstheme="minorHAnsi"/>
          <w:i/>
          <w:noProof/>
          <w:color w:val="000000"/>
          <w:sz w:val="20"/>
          <w:szCs w:val="20"/>
        </w:rPr>
        <w:t>Hedvika Petrželková</w:t>
      </w:r>
      <w:r>
        <w:rPr>
          <w:rFonts w:asciiTheme="minorHAnsi" w:eastAsiaTheme="minorEastAsia" w:hAnsiTheme="minorHAnsi" w:cstheme="minorHAnsi"/>
          <w:i/>
          <w:noProof/>
          <w:color w:val="000000"/>
          <w:sz w:val="20"/>
          <w:szCs w:val="20"/>
        </w:rPr>
        <w:br/>
      </w:r>
      <w:r w:rsidRPr="00817006">
        <w:rPr>
          <w:rFonts w:asciiTheme="minorHAnsi" w:eastAsiaTheme="minorEastAsia" w:hAnsiTheme="minorHAnsi" w:cstheme="minorHAnsi"/>
          <w:i/>
          <w:noProof/>
          <w:color w:val="000000"/>
          <w:sz w:val="20"/>
          <w:szCs w:val="20"/>
        </w:rPr>
        <w:t xml:space="preserve">Czech Film </w:t>
      </w:r>
      <w:r>
        <w:rPr>
          <w:rFonts w:asciiTheme="minorHAnsi" w:eastAsiaTheme="minorEastAsia" w:hAnsiTheme="minorHAnsi" w:cstheme="minorHAnsi"/>
          <w:i/>
          <w:noProof/>
          <w:color w:val="000000"/>
          <w:sz w:val="20"/>
          <w:szCs w:val="20"/>
        </w:rPr>
        <w:t>Center</w:t>
      </w:r>
      <w:r>
        <w:rPr>
          <w:rFonts w:asciiTheme="minorHAnsi" w:eastAsiaTheme="minorEastAsia" w:hAnsiTheme="minorHAnsi" w:cstheme="minorHAnsi"/>
          <w:i/>
          <w:noProof/>
          <w:color w:val="000000"/>
          <w:sz w:val="20"/>
          <w:szCs w:val="20"/>
        </w:rPr>
        <w:br/>
      </w:r>
      <w:r w:rsidRPr="00817006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Národní 28, 110 00 Praha 1</w:t>
      </w:r>
      <w:r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br/>
      </w:r>
      <w:r w:rsidR="009F0F51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 xml:space="preserve">+420 770 127 726, </w:t>
      </w:r>
      <w:r w:rsidRPr="00817006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+420 776 167</w:t>
      </w:r>
      <w:r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 </w:t>
      </w:r>
      <w:r w:rsidRPr="00817006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567</w:t>
      </w:r>
      <w:r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br/>
      </w:r>
      <w:hyperlink r:id="rId17" w:tgtFrame="_blank" w:history="1">
        <w:r w:rsidRPr="00817006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hedvika@filmcenter.cz</w:t>
        </w:r>
      </w:hyperlink>
      <w:r>
        <w:rPr>
          <w:sz w:val="20"/>
          <w:szCs w:val="20"/>
        </w:rPr>
        <w:br/>
      </w:r>
      <w:hyperlink r:id="rId18" w:tgtFrame="_blank" w:history="1">
        <w:r w:rsidRPr="00817006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www.filmcenter.cz</w:t>
        </w:r>
      </w:hyperlink>
      <w:r w:rsidR="007F151E">
        <w:rPr>
          <w:sz w:val="20"/>
          <w:szCs w:val="20"/>
        </w:rPr>
        <w:t xml:space="preserve">; </w:t>
      </w:r>
      <w:hyperlink r:id="rId19" w:tgtFrame="_blank" w:history="1">
        <w:r w:rsidRPr="00817006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facebook</w:t>
        </w:r>
      </w:hyperlink>
      <w:bookmarkEnd w:id="1"/>
    </w:p>
    <w:sectPr w:rsidR="009F0F51" w:rsidRPr="007F151E" w:rsidSect="007317B3">
      <w:headerReference w:type="default" r:id="rId2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D4DDBC" w15:done="0"/>
  <w15:commentEx w15:paraId="494B70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4DDBC" w16cid:durableId="1D4AA1A4"/>
  <w16cid:commentId w16cid:paraId="494B7067" w16cid:durableId="1D4AA1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06" w:rsidRDefault="00817006" w:rsidP="0080772E">
      <w:r>
        <w:separator/>
      </w:r>
    </w:p>
  </w:endnote>
  <w:endnote w:type="continuationSeparator" w:id="0">
    <w:p w:rsidR="00817006" w:rsidRDefault="00817006" w:rsidP="0080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di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06" w:rsidRDefault="00817006" w:rsidP="0080772E">
      <w:r>
        <w:separator/>
      </w:r>
    </w:p>
  </w:footnote>
  <w:footnote w:type="continuationSeparator" w:id="0">
    <w:p w:rsidR="00817006" w:rsidRDefault="00817006" w:rsidP="0080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06" w:rsidRDefault="0081700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4799965</wp:posOffset>
          </wp:positionH>
          <wp:positionV relativeFrom="margin">
            <wp:posOffset>-679450</wp:posOffset>
          </wp:positionV>
          <wp:extent cx="1187777" cy="756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k_logo_cz_single_fram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77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16280" cy="517525"/>
          <wp:effectExtent l="19050" t="0" r="7620" b="0"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3CE"/>
    <w:multiLevelType w:val="hybridMultilevel"/>
    <w:tmpl w:val="EDD8355C"/>
    <w:lvl w:ilvl="0" w:tplc="A2A0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808A8"/>
    <w:multiLevelType w:val="hybridMultilevel"/>
    <w:tmpl w:val="5596C758"/>
    <w:lvl w:ilvl="0" w:tplc="E8A20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F1279"/>
    <w:multiLevelType w:val="multilevel"/>
    <w:tmpl w:val="E20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Šantrochová">
    <w15:presenceInfo w15:providerId="AD" w15:userId="S-1-5-21-3801933471-1956846387-4149155416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B4917"/>
    <w:rsid w:val="00010D26"/>
    <w:rsid w:val="00013634"/>
    <w:rsid w:val="00024FA6"/>
    <w:rsid w:val="00031CAD"/>
    <w:rsid w:val="000426D1"/>
    <w:rsid w:val="00050F87"/>
    <w:rsid w:val="00055531"/>
    <w:rsid w:val="0006032B"/>
    <w:rsid w:val="00063A13"/>
    <w:rsid w:val="00063E12"/>
    <w:rsid w:val="00075D0E"/>
    <w:rsid w:val="00080744"/>
    <w:rsid w:val="00083782"/>
    <w:rsid w:val="00084AC1"/>
    <w:rsid w:val="00085219"/>
    <w:rsid w:val="000A38BF"/>
    <w:rsid w:val="000A3D16"/>
    <w:rsid w:val="000B4917"/>
    <w:rsid w:val="000C171F"/>
    <w:rsid w:val="000D28A5"/>
    <w:rsid w:val="000E0297"/>
    <w:rsid w:val="000E2DBF"/>
    <w:rsid w:val="000E4F52"/>
    <w:rsid w:val="000E5A52"/>
    <w:rsid w:val="000E6428"/>
    <w:rsid w:val="000E7500"/>
    <w:rsid w:val="000F1A26"/>
    <w:rsid w:val="000F2D67"/>
    <w:rsid w:val="00102E55"/>
    <w:rsid w:val="0010769F"/>
    <w:rsid w:val="001173EB"/>
    <w:rsid w:val="0011747B"/>
    <w:rsid w:val="00120A75"/>
    <w:rsid w:val="0012506B"/>
    <w:rsid w:val="00137146"/>
    <w:rsid w:val="0014045E"/>
    <w:rsid w:val="001415EC"/>
    <w:rsid w:val="001451C5"/>
    <w:rsid w:val="0015228B"/>
    <w:rsid w:val="00165B98"/>
    <w:rsid w:val="00170745"/>
    <w:rsid w:val="00191AFE"/>
    <w:rsid w:val="00192723"/>
    <w:rsid w:val="00195C43"/>
    <w:rsid w:val="001A2FDC"/>
    <w:rsid w:val="001A72BD"/>
    <w:rsid w:val="001B42AD"/>
    <w:rsid w:val="001B535F"/>
    <w:rsid w:val="001C1DF8"/>
    <w:rsid w:val="001E5B3B"/>
    <w:rsid w:val="001E7C0B"/>
    <w:rsid w:val="001F04A2"/>
    <w:rsid w:val="002033FD"/>
    <w:rsid w:val="002104D1"/>
    <w:rsid w:val="00221A64"/>
    <w:rsid w:val="00223F8B"/>
    <w:rsid w:val="00231C78"/>
    <w:rsid w:val="00242A29"/>
    <w:rsid w:val="002855B5"/>
    <w:rsid w:val="00286659"/>
    <w:rsid w:val="00292555"/>
    <w:rsid w:val="0029327F"/>
    <w:rsid w:val="00293AE4"/>
    <w:rsid w:val="00293C69"/>
    <w:rsid w:val="00295A54"/>
    <w:rsid w:val="002A0270"/>
    <w:rsid w:val="002A1E60"/>
    <w:rsid w:val="002B24AC"/>
    <w:rsid w:val="002B319F"/>
    <w:rsid w:val="002C61E9"/>
    <w:rsid w:val="002D0EF2"/>
    <w:rsid w:val="002D46BC"/>
    <w:rsid w:val="002D7853"/>
    <w:rsid w:val="002E3341"/>
    <w:rsid w:val="002E4EB8"/>
    <w:rsid w:val="002F2379"/>
    <w:rsid w:val="002F2D18"/>
    <w:rsid w:val="002F5EA2"/>
    <w:rsid w:val="002F786C"/>
    <w:rsid w:val="00313A58"/>
    <w:rsid w:val="003174B1"/>
    <w:rsid w:val="003249FB"/>
    <w:rsid w:val="0032620C"/>
    <w:rsid w:val="00327BA5"/>
    <w:rsid w:val="00330E81"/>
    <w:rsid w:val="0033496D"/>
    <w:rsid w:val="003378B9"/>
    <w:rsid w:val="00363997"/>
    <w:rsid w:val="00374732"/>
    <w:rsid w:val="00375B4F"/>
    <w:rsid w:val="00376C57"/>
    <w:rsid w:val="0038407E"/>
    <w:rsid w:val="003971B3"/>
    <w:rsid w:val="003B1E42"/>
    <w:rsid w:val="003D325B"/>
    <w:rsid w:val="003E5633"/>
    <w:rsid w:val="003F094D"/>
    <w:rsid w:val="003F26AE"/>
    <w:rsid w:val="003F487A"/>
    <w:rsid w:val="00405989"/>
    <w:rsid w:val="00410183"/>
    <w:rsid w:val="00410C5E"/>
    <w:rsid w:val="004136D0"/>
    <w:rsid w:val="00417C76"/>
    <w:rsid w:val="0042565F"/>
    <w:rsid w:val="00445A2D"/>
    <w:rsid w:val="00452B18"/>
    <w:rsid w:val="00456C16"/>
    <w:rsid w:val="004612F9"/>
    <w:rsid w:val="0047314A"/>
    <w:rsid w:val="00486471"/>
    <w:rsid w:val="004A3417"/>
    <w:rsid w:val="004C2F6B"/>
    <w:rsid w:val="004C33EA"/>
    <w:rsid w:val="004D1EE2"/>
    <w:rsid w:val="004E0461"/>
    <w:rsid w:val="004E2F0B"/>
    <w:rsid w:val="004E6E74"/>
    <w:rsid w:val="004F4668"/>
    <w:rsid w:val="004F4B3D"/>
    <w:rsid w:val="004F7D7C"/>
    <w:rsid w:val="00516AF0"/>
    <w:rsid w:val="00517D58"/>
    <w:rsid w:val="005353CE"/>
    <w:rsid w:val="00540746"/>
    <w:rsid w:val="005433E8"/>
    <w:rsid w:val="005606FB"/>
    <w:rsid w:val="0057075D"/>
    <w:rsid w:val="0057342A"/>
    <w:rsid w:val="00574077"/>
    <w:rsid w:val="00574207"/>
    <w:rsid w:val="00595F43"/>
    <w:rsid w:val="00597751"/>
    <w:rsid w:val="005A5DE8"/>
    <w:rsid w:val="005A64D0"/>
    <w:rsid w:val="005B2B9A"/>
    <w:rsid w:val="005B31ED"/>
    <w:rsid w:val="005D2A5C"/>
    <w:rsid w:val="005D34FD"/>
    <w:rsid w:val="005D4A45"/>
    <w:rsid w:val="005F3FC7"/>
    <w:rsid w:val="005F6285"/>
    <w:rsid w:val="005F67D1"/>
    <w:rsid w:val="005F6963"/>
    <w:rsid w:val="0060253B"/>
    <w:rsid w:val="0060748A"/>
    <w:rsid w:val="00611121"/>
    <w:rsid w:val="00614B2A"/>
    <w:rsid w:val="0062004A"/>
    <w:rsid w:val="00621C40"/>
    <w:rsid w:val="00630FB8"/>
    <w:rsid w:val="00631286"/>
    <w:rsid w:val="0063620E"/>
    <w:rsid w:val="00642336"/>
    <w:rsid w:val="00642579"/>
    <w:rsid w:val="00643B53"/>
    <w:rsid w:val="006533EB"/>
    <w:rsid w:val="00661515"/>
    <w:rsid w:val="00696541"/>
    <w:rsid w:val="006A1CD1"/>
    <w:rsid w:val="006A2BAC"/>
    <w:rsid w:val="006A762D"/>
    <w:rsid w:val="006B143D"/>
    <w:rsid w:val="006B1C6D"/>
    <w:rsid w:val="006D2A96"/>
    <w:rsid w:val="006D3F9F"/>
    <w:rsid w:val="006E15BA"/>
    <w:rsid w:val="006E2871"/>
    <w:rsid w:val="006E693F"/>
    <w:rsid w:val="007256DD"/>
    <w:rsid w:val="0073177B"/>
    <w:rsid w:val="007317B3"/>
    <w:rsid w:val="00743240"/>
    <w:rsid w:val="007470F3"/>
    <w:rsid w:val="007512CB"/>
    <w:rsid w:val="00756888"/>
    <w:rsid w:val="00776A04"/>
    <w:rsid w:val="00793A37"/>
    <w:rsid w:val="007A0994"/>
    <w:rsid w:val="007B1F59"/>
    <w:rsid w:val="007D1073"/>
    <w:rsid w:val="007D7D72"/>
    <w:rsid w:val="007E4798"/>
    <w:rsid w:val="007E7C6C"/>
    <w:rsid w:val="007F04EB"/>
    <w:rsid w:val="007F151E"/>
    <w:rsid w:val="00800E52"/>
    <w:rsid w:val="0080269B"/>
    <w:rsid w:val="00802A74"/>
    <w:rsid w:val="00803E9D"/>
    <w:rsid w:val="0080772E"/>
    <w:rsid w:val="00817006"/>
    <w:rsid w:val="008207F9"/>
    <w:rsid w:val="00823FAE"/>
    <w:rsid w:val="00840037"/>
    <w:rsid w:val="008471FB"/>
    <w:rsid w:val="00851653"/>
    <w:rsid w:val="0086386B"/>
    <w:rsid w:val="00864184"/>
    <w:rsid w:val="00865222"/>
    <w:rsid w:val="00874D9E"/>
    <w:rsid w:val="00885E38"/>
    <w:rsid w:val="00895C62"/>
    <w:rsid w:val="008A3604"/>
    <w:rsid w:val="008A5795"/>
    <w:rsid w:val="008A6898"/>
    <w:rsid w:val="008B67E3"/>
    <w:rsid w:val="008C2DEB"/>
    <w:rsid w:val="008C5B89"/>
    <w:rsid w:val="008D65BB"/>
    <w:rsid w:val="008E1760"/>
    <w:rsid w:val="008E6DCE"/>
    <w:rsid w:val="00900637"/>
    <w:rsid w:val="00901491"/>
    <w:rsid w:val="00912721"/>
    <w:rsid w:val="00915196"/>
    <w:rsid w:val="009206EF"/>
    <w:rsid w:val="0092401F"/>
    <w:rsid w:val="0093696B"/>
    <w:rsid w:val="00956692"/>
    <w:rsid w:val="009579A6"/>
    <w:rsid w:val="00967527"/>
    <w:rsid w:val="00970C2D"/>
    <w:rsid w:val="00986D3C"/>
    <w:rsid w:val="009A63B5"/>
    <w:rsid w:val="009B5384"/>
    <w:rsid w:val="009B63CB"/>
    <w:rsid w:val="009C06B8"/>
    <w:rsid w:val="009C0CD8"/>
    <w:rsid w:val="009C2FAA"/>
    <w:rsid w:val="009C6F17"/>
    <w:rsid w:val="009D104F"/>
    <w:rsid w:val="009D1526"/>
    <w:rsid w:val="009D46A0"/>
    <w:rsid w:val="009E0538"/>
    <w:rsid w:val="009E2622"/>
    <w:rsid w:val="009F0F51"/>
    <w:rsid w:val="009F3CBC"/>
    <w:rsid w:val="009F7040"/>
    <w:rsid w:val="009F770B"/>
    <w:rsid w:val="00A0304A"/>
    <w:rsid w:val="00A049B5"/>
    <w:rsid w:val="00A12676"/>
    <w:rsid w:val="00A20E10"/>
    <w:rsid w:val="00A24282"/>
    <w:rsid w:val="00A278F8"/>
    <w:rsid w:val="00A34254"/>
    <w:rsid w:val="00A4105A"/>
    <w:rsid w:val="00A51285"/>
    <w:rsid w:val="00A515A4"/>
    <w:rsid w:val="00A60F32"/>
    <w:rsid w:val="00A628C1"/>
    <w:rsid w:val="00A718CA"/>
    <w:rsid w:val="00A837DB"/>
    <w:rsid w:val="00A84BBE"/>
    <w:rsid w:val="00AA1DEE"/>
    <w:rsid w:val="00AA4E97"/>
    <w:rsid w:val="00AB43C3"/>
    <w:rsid w:val="00AB6DA9"/>
    <w:rsid w:val="00AE6917"/>
    <w:rsid w:val="00AF47F0"/>
    <w:rsid w:val="00AF5E08"/>
    <w:rsid w:val="00B17AB1"/>
    <w:rsid w:val="00B21934"/>
    <w:rsid w:val="00B22D4B"/>
    <w:rsid w:val="00B24CB1"/>
    <w:rsid w:val="00B27E56"/>
    <w:rsid w:val="00B32DE5"/>
    <w:rsid w:val="00B34024"/>
    <w:rsid w:val="00B37DBF"/>
    <w:rsid w:val="00B430DB"/>
    <w:rsid w:val="00B4531B"/>
    <w:rsid w:val="00B71957"/>
    <w:rsid w:val="00B7211D"/>
    <w:rsid w:val="00B72789"/>
    <w:rsid w:val="00B83AF7"/>
    <w:rsid w:val="00B90917"/>
    <w:rsid w:val="00B92F00"/>
    <w:rsid w:val="00B95248"/>
    <w:rsid w:val="00BA7BAF"/>
    <w:rsid w:val="00BB5E7C"/>
    <w:rsid w:val="00BC34B7"/>
    <w:rsid w:val="00BD026E"/>
    <w:rsid w:val="00BE0AA1"/>
    <w:rsid w:val="00BE44F5"/>
    <w:rsid w:val="00C003BD"/>
    <w:rsid w:val="00C13251"/>
    <w:rsid w:val="00C1531C"/>
    <w:rsid w:val="00C172E8"/>
    <w:rsid w:val="00C17950"/>
    <w:rsid w:val="00C24693"/>
    <w:rsid w:val="00C2754F"/>
    <w:rsid w:val="00C56D69"/>
    <w:rsid w:val="00C64576"/>
    <w:rsid w:val="00C81DD0"/>
    <w:rsid w:val="00C834F4"/>
    <w:rsid w:val="00C9528E"/>
    <w:rsid w:val="00CA56FC"/>
    <w:rsid w:val="00CB206A"/>
    <w:rsid w:val="00CB7810"/>
    <w:rsid w:val="00CC2732"/>
    <w:rsid w:val="00CC34A0"/>
    <w:rsid w:val="00CC4785"/>
    <w:rsid w:val="00CD007D"/>
    <w:rsid w:val="00CD1615"/>
    <w:rsid w:val="00CD225E"/>
    <w:rsid w:val="00CD4D2B"/>
    <w:rsid w:val="00CE7A90"/>
    <w:rsid w:val="00CF16BA"/>
    <w:rsid w:val="00CF3052"/>
    <w:rsid w:val="00CF666F"/>
    <w:rsid w:val="00D029C7"/>
    <w:rsid w:val="00D05B2B"/>
    <w:rsid w:val="00D07452"/>
    <w:rsid w:val="00D10922"/>
    <w:rsid w:val="00D33CBE"/>
    <w:rsid w:val="00D34CBA"/>
    <w:rsid w:val="00D46A0F"/>
    <w:rsid w:val="00D50A16"/>
    <w:rsid w:val="00D51A4A"/>
    <w:rsid w:val="00D53ED5"/>
    <w:rsid w:val="00D60682"/>
    <w:rsid w:val="00D618A8"/>
    <w:rsid w:val="00D7573F"/>
    <w:rsid w:val="00D77791"/>
    <w:rsid w:val="00D86563"/>
    <w:rsid w:val="00D87D53"/>
    <w:rsid w:val="00D94A98"/>
    <w:rsid w:val="00D959F3"/>
    <w:rsid w:val="00DA4AA5"/>
    <w:rsid w:val="00DB12FE"/>
    <w:rsid w:val="00DB647C"/>
    <w:rsid w:val="00DC6E30"/>
    <w:rsid w:val="00DE4B8C"/>
    <w:rsid w:val="00DE6FF3"/>
    <w:rsid w:val="00DF751C"/>
    <w:rsid w:val="00E01491"/>
    <w:rsid w:val="00E01546"/>
    <w:rsid w:val="00E03B92"/>
    <w:rsid w:val="00E043C0"/>
    <w:rsid w:val="00E06CEA"/>
    <w:rsid w:val="00E160A7"/>
    <w:rsid w:val="00E2037C"/>
    <w:rsid w:val="00E21D51"/>
    <w:rsid w:val="00E24A30"/>
    <w:rsid w:val="00E2685A"/>
    <w:rsid w:val="00E26EAD"/>
    <w:rsid w:val="00E35509"/>
    <w:rsid w:val="00E41DFE"/>
    <w:rsid w:val="00E528AF"/>
    <w:rsid w:val="00E573CA"/>
    <w:rsid w:val="00E813DE"/>
    <w:rsid w:val="00E86002"/>
    <w:rsid w:val="00E87192"/>
    <w:rsid w:val="00E91C5D"/>
    <w:rsid w:val="00E952E9"/>
    <w:rsid w:val="00E95AC1"/>
    <w:rsid w:val="00EA4792"/>
    <w:rsid w:val="00EA4D5B"/>
    <w:rsid w:val="00EB2837"/>
    <w:rsid w:val="00ED41D5"/>
    <w:rsid w:val="00ED4C58"/>
    <w:rsid w:val="00ED7A09"/>
    <w:rsid w:val="00EE373F"/>
    <w:rsid w:val="00EF514F"/>
    <w:rsid w:val="00EF698D"/>
    <w:rsid w:val="00EF6E7A"/>
    <w:rsid w:val="00F4403A"/>
    <w:rsid w:val="00F47BDE"/>
    <w:rsid w:val="00F512EB"/>
    <w:rsid w:val="00F52CFE"/>
    <w:rsid w:val="00F53807"/>
    <w:rsid w:val="00F81F9B"/>
    <w:rsid w:val="00F82794"/>
    <w:rsid w:val="00F94FB8"/>
    <w:rsid w:val="00FB01CF"/>
    <w:rsid w:val="00FC31FC"/>
    <w:rsid w:val="00FD215F"/>
    <w:rsid w:val="00FD4C02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styleId="Hypertextovodkaz">
    <w:name w:val="Hyperlink"/>
    <w:basedOn w:val="Standardnpsmoodstavce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Standardnpsmoodstavce"/>
    <w:rsid w:val="00BB5E7C"/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ln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5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03B9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DF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E01491"/>
    <w:rPr>
      <w:color w:val="808080"/>
      <w:shd w:val="clear" w:color="auto" w:fill="E6E6E6"/>
    </w:rPr>
  </w:style>
  <w:style w:type="paragraph" w:customStyle="1" w:styleId="Default">
    <w:name w:val="Default"/>
    <w:rsid w:val="00E24A30"/>
    <w:pPr>
      <w:autoSpaceDE w:val="0"/>
      <w:autoSpaceDN w:val="0"/>
      <w:adjustRightInd w:val="0"/>
      <w:spacing w:after="0"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A54"/>
  </w:style>
  <w:style w:type="character" w:styleId="Hyperlink">
    <w:name w:val="Hyperlink"/>
    <w:basedOn w:val="DefaultParagraphFont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DefaultParagraphFont"/>
    <w:rsid w:val="00BB5E7C"/>
  </w:style>
  <w:style w:type="paragraph" w:styleId="Header">
    <w:name w:val="header"/>
    <w:basedOn w:val="Normal"/>
    <w:link w:val="Header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2E"/>
    <w:rPr>
      <w:rFonts w:ascii="Calibri" w:hAnsi="Calibri" w:cs="Calibri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2E"/>
    <w:rPr>
      <w:rFonts w:ascii="Calibri" w:hAnsi="Calibri" w:cs="Calibri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B4F"/>
    <w:rPr>
      <w:i/>
      <w:iCs/>
    </w:rPr>
  </w:style>
  <w:style w:type="character" w:styleId="Strong">
    <w:name w:val="Strong"/>
    <w:basedOn w:val="DefaultParagraphFont"/>
    <w:uiPriority w:val="22"/>
    <w:qFormat/>
    <w:rsid w:val="00375B4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al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9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9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E03B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DF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E01491"/>
    <w:rPr>
      <w:color w:val="808080"/>
      <w:shd w:val="clear" w:color="auto" w:fill="E6E6E6"/>
    </w:rPr>
  </w:style>
  <w:style w:type="paragraph" w:customStyle="1" w:styleId="Default">
    <w:name w:val="Default"/>
    <w:rsid w:val="00E24A30"/>
    <w:pPr>
      <w:autoSpaceDE w:val="0"/>
      <w:autoSpaceDN w:val="0"/>
      <w:adjustRightInd w:val="0"/>
      <w:spacing w:after="0"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2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5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607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45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673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780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518">
          <w:marLeft w:val="0"/>
          <w:marRight w:val="0"/>
          <w:marTop w:val="0"/>
          <w:marBottom w:val="14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67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995">
          <w:marLeft w:val="0"/>
          <w:marRight w:val="0"/>
          <w:marTop w:val="0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5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9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lmcenter.cz/cs/press" TargetMode="External"/><Relationship Id="rId18" Type="http://schemas.openxmlformats.org/officeDocument/2006/relationships/hyperlink" Target="http://filmcenter.cz/cz/homepag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marketa@filmcenter.cz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filmcenter.cz/cs/nase-aktivity/filmove-trhy/toront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ff.net/tif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lmcenter.cz/cs/novinky/1299-restaurovany-cerny-petr-milose-formana-bude-uveden-v-benatkach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efp-online.com/en/" TargetMode="External"/><Relationship Id="rId19" Type="http://schemas.openxmlformats.org/officeDocument/2006/relationships/hyperlink" Target="https://www.facebook.com/CzechFilmCenter/?ref=aymt_homepage_pa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ilmcenter.cz/cs/novinky/1301-dva-ceske-projekty-na-venice-gap-financing-marketu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6BF7-F1D2-400F-BED0-9BCD0EE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1976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petrzelkova</cp:lastModifiedBy>
  <cp:revision>2</cp:revision>
  <cp:lastPrinted>2017-08-25T09:44:00Z</cp:lastPrinted>
  <dcterms:created xsi:type="dcterms:W3CDTF">2017-08-28T07:56:00Z</dcterms:created>
  <dcterms:modified xsi:type="dcterms:W3CDTF">2017-08-28T07:56:00Z</dcterms:modified>
</cp:coreProperties>
</file>